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5319" w:rsidRDefault="001C5319" w:rsidP="001C5319">
      <w:pPr>
        <w:spacing w:line="480" w:lineRule="auto"/>
        <w:jc w:val="center"/>
        <w:rPr>
          <w:rFonts w:ascii="Times New Roman" w:hAnsi="Times New Roman" w:cs="Times New Roman"/>
          <w:sz w:val="24"/>
          <w:szCs w:val="24"/>
        </w:rPr>
      </w:pPr>
    </w:p>
    <w:p w:rsidR="001C5319" w:rsidRDefault="001C5319" w:rsidP="001C5319">
      <w:pPr>
        <w:spacing w:line="480" w:lineRule="auto"/>
        <w:jc w:val="center"/>
        <w:rPr>
          <w:rFonts w:ascii="Times New Roman" w:hAnsi="Times New Roman" w:cs="Times New Roman"/>
          <w:sz w:val="24"/>
          <w:szCs w:val="24"/>
        </w:rPr>
      </w:pPr>
    </w:p>
    <w:p w:rsidR="001C5319" w:rsidRDefault="001C5319" w:rsidP="001C5319">
      <w:pPr>
        <w:spacing w:line="480" w:lineRule="auto"/>
        <w:jc w:val="center"/>
        <w:rPr>
          <w:rFonts w:ascii="Times New Roman" w:hAnsi="Times New Roman" w:cs="Times New Roman"/>
          <w:sz w:val="24"/>
          <w:szCs w:val="24"/>
        </w:rPr>
      </w:pPr>
    </w:p>
    <w:p w:rsidR="001C5319" w:rsidRDefault="001C5319" w:rsidP="001C5319">
      <w:pPr>
        <w:spacing w:line="480" w:lineRule="auto"/>
        <w:jc w:val="center"/>
        <w:rPr>
          <w:rFonts w:ascii="Times New Roman" w:hAnsi="Times New Roman" w:cs="Times New Roman"/>
          <w:sz w:val="24"/>
          <w:szCs w:val="24"/>
        </w:rPr>
      </w:pPr>
    </w:p>
    <w:p w:rsidR="001C5319" w:rsidRDefault="001C5319" w:rsidP="001C5319">
      <w:pPr>
        <w:spacing w:line="480" w:lineRule="auto"/>
        <w:jc w:val="center"/>
        <w:rPr>
          <w:rFonts w:ascii="Times New Roman" w:hAnsi="Times New Roman" w:cs="Times New Roman"/>
          <w:sz w:val="24"/>
          <w:szCs w:val="24"/>
        </w:rPr>
      </w:pPr>
    </w:p>
    <w:p w:rsidR="001C5319" w:rsidRDefault="001C5319" w:rsidP="001C5319">
      <w:pPr>
        <w:spacing w:line="480" w:lineRule="auto"/>
        <w:jc w:val="center"/>
        <w:rPr>
          <w:rFonts w:ascii="Times New Roman" w:hAnsi="Times New Roman" w:cs="Times New Roman"/>
          <w:sz w:val="24"/>
          <w:szCs w:val="24"/>
        </w:rPr>
      </w:pPr>
    </w:p>
    <w:p w:rsidR="001C5319" w:rsidRDefault="001C5319" w:rsidP="001C5319">
      <w:pPr>
        <w:spacing w:line="480" w:lineRule="auto"/>
        <w:jc w:val="center"/>
        <w:rPr>
          <w:rFonts w:ascii="Times New Roman" w:hAnsi="Times New Roman" w:cs="Times New Roman"/>
          <w:sz w:val="24"/>
          <w:szCs w:val="24"/>
        </w:rPr>
      </w:pPr>
    </w:p>
    <w:p w:rsidR="001C5319" w:rsidRDefault="00A06433" w:rsidP="001C5319">
      <w:pPr>
        <w:spacing w:line="480" w:lineRule="auto"/>
        <w:jc w:val="center"/>
        <w:rPr>
          <w:rFonts w:ascii="Times New Roman" w:hAnsi="Times New Roman" w:cs="Times New Roman"/>
          <w:sz w:val="24"/>
          <w:szCs w:val="24"/>
        </w:rPr>
      </w:pPr>
      <w:r>
        <w:rPr>
          <w:rFonts w:ascii="Times New Roman" w:hAnsi="Times New Roman" w:cs="Times New Roman"/>
          <w:sz w:val="24"/>
          <w:szCs w:val="24"/>
        </w:rPr>
        <w:t>Economic Brief</w:t>
      </w:r>
    </w:p>
    <w:p w:rsidR="0080412D" w:rsidRDefault="00A06433" w:rsidP="001C5319">
      <w:pPr>
        <w:spacing w:line="480" w:lineRule="auto"/>
        <w:jc w:val="center"/>
        <w:rPr>
          <w:rFonts w:ascii="Times New Roman" w:hAnsi="Times New Roman" w:cs="Times New Roman"/>
          <w:sz w:val="24"/>
          <w:szCs w:val="24"/>
        </w:rPr>
      </w:pPr>
      <w:r>
        <w:rPr>
          <w:rFonts w:ascii="Times New Roman" w:hAnsi="Times New Roman" w:cs="Times New Roman"/>
          <w:sz w:val="24"/>
          <w:szCs w:val="24"/>
        </w:rPr>
        <w:t>Market Structures</w:t>
      </w:r>
    </w:p>
    <w:p w:rsidR="001C5319" w:rsidRDefault="00A06433" w:rsidP="001C5319">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1C5319" w:rsidRDefault="00A06433" w:rsidP="001C5319">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1C5319" w:rsidRDefault="00A06433" w:rsidP="001C5319">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Professor’s Name</w:t>
      </w:r>
    </w:p>
    <w:p w:rsidR="001C5319" w:rsidRDefault="00A06433" w:rsidP="001C5319">
      <w:pPr>
        <w:spacing w:line="480" w:lineRule="auto"/>
        <w:jc w:val="center"/>
        <w:rPr>
          <w:rFonts w:ascii="Times New Roman" w:hAnsi="Times New Roman" w:cs="Times New Roman"/>
          <w:sz w:val="24"/>
          <w:szCs w:val="24"/>
        </w:rPr>
      </w:pPr>
      <w:r>
        <w:rPr>
          <w:rFonts w:ascii="Times New Roman" w:hAnsi="Times New Roman" w:cs="Times New Roman"/>
          <w:sz w:val="24"/>
          <w:szCs w:val="24"/>
        </w:rPr>
        <w:t>10/25/2019</w:t>
      </w:r>
    </w:p>
    <w:p w:rsidR="001C5319" w:rsidRPr="001C5319" w:rsidRDefault="001C5319" w:rsidP="001C5319">
      <w:pPr>
        <w:rPr>
          <w:rFonts w:ascii="Times New Roman" w:hAnsi="Times New Roman" w:cs="Times New Roman"/>
          <w:sz w:val="24"/>
          <w:szCs w:val="24"/>
        </w:rPr>
      </w:pPr>
    </w:p>
    <w:p w:rsidR="001C5319" w:rsidRPr="001C5319" w:rsidRDefault="001C5319" w:rsidP="001C5319">
      <w:pPr>
        <w:rPr>
          <w:rFonts w:ascii="Times New Roman" w:hAnsi="Times New Roman" w:cs="Times New Roman"/>
          <w:sz w:val="24"/>
          <w:szCs w:val="24"/>
        </w:rPr>
      </w:pPr>
    </w:p>
    <w:p w:rsidR="001C5319" w:rsidRDefault="001C5319" w:rsidP="001C5319">
      <w:pPr>
        <w:rPr>
          <w:rFonts w:ascii="Times New Roman" w:hAnsi="Times New Roman" w:cs="Times New Roman"/>
          <w:sz w:val="24"/>
          <w:szCs w:val="24"/>
        </w:rPr>
      </w:pPr>
    </w:p>
    <w:p w:rsidR="001C5319" w:rsidRDefault="001C5319" w:rsidP="001C5319">
      <w:pPr>
        <w:rPr>
          <w:rFonts w:ascii="Times New Roman" w:hAnsi="Times New Roman" w:cs="Times New Roman"/>
          <w:sz w:val="24"/>
          <w:szCs w:val="24"/>
        </w:rPr>
      </w:pPr>
    </w:p>
    <w:p w:rsidR="001C5319" w:rsidRDefault="001C5319" w:rsidP="001C5319">
      <w:pPr>
        <w:rPr>
          <w:rFonts w:ascii="Times New Roman" w:hAnsi="Times New Roman" w:cs="Times New Roman"/>
          <w:sz w:val="24"/>
          <w:szCs w:val="24"/>
        </w:rPr>
      </w:pPr>
    </w:p>
    <w:p w:rsidR="001C5319" w:rsidRDefault="001C5319" w:rsidP="001C5319">
      <w:pPr>
        <w:rPr>
          <w:rFonts w:ascii="Times New Roman" w:hAnsi="Times New Roman" w:cs="Times New Roman"/>
          <w:sz w:val="24"/>
          <w:szCs w:val="24"/>
        </w:rPr>
      </w:pPr>
    </w:p>
    <w:p w:rsidR="001C5319" w:rsidRDefault="00A06433" w:rsidP="001C5319">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Economic Brief</w:t>
      </w:r>
    </w:p>
    <w:p w:rsidR="001C5319" w:rsidRDefault="00A06433" w:rsidP="001C5319">
      <w:pPr>
        <w:spacing w:line="480" w:lineRule="auto"/>
        <w:jc w:val="center"/>
        <w:rPr>
          <w:rFonts w:ascii="Times New Roman" w:hAnsi="Times New Roman" w:cs="Times New Roman"/>
          <w:sz w:val="24"/>
          <w:szCs w:val="24"/>
        </w:rPr>
      </w:pPr>
      <w:r>
        <w:rPr>
          <w:rFonts w:ascii="Times New Roman" w:hAnsi="Times New Roman" w:cs="Times New Roman"/>
          <w:sz w:val="24"/>
          <w:szCs w:val="24"/>
        </w:rPr>
        <w:t>Market Structures</w:t>
      </w:r>
    </w:p>
    <w:p w:rsidR="00E0555B" w:rsidRDefault="00A06433" w:rsidP="00E0555B">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The finance and the insurance industry is one of the major economic sectors in the United States (U.S) that carries out financial transactions involving financial assets. In this regard, the industry raises funds by issuing securities as well as taking de</w:t>
      </w:r>
      <w:r>
        <w:rPr>
          <w:rFonts w:ascii="Times New Roman" w:hAnsi="Times New Roman" w:cs="Times New Roman"/>
          <w:sz w:val="24"/>
          <w:szCs w:val="24"/>
        </w:rPr>
        <w:t xml:space="preserve">posits; as a result, incurring liabilities. Also, the players in this industry pool risks by collectively accumulating annuity considerations, insurance premiums, and build up reserves. The provision of specialized services related to insurance, financial </w:t>
      </w:r>
      <w:r>
        <w:rPr>
          <w:rFonts w:ascii="Times New Roman" w:hAnsi="Times New Roman" w:cs="Times New Roman"/>
          <w:sz w:val="24"/>
          <w:szCs w:val="24"/>
        </w:rPr>
        <w:t xml:space="preserve">intermediation, and employee benefit programs is another characteristic of the industry.  Mortgage and nonmortgage loan brokers </w:t>
      </w:r>
      <w:r w:rsidR="002C425C">
        <w:rPr>
          <w:rFonts w:ascii="Times New Roman" w:hAnsi="Times New Roman" w:cs="Times New Roman"/>
          <w:sz w:val="24"/>
          <w:szCs w:val="24"/>
        </w:rPr>
        <w:t>are significant players in this industry since they ensure loan arrangement by organizing borrowers and lenders on a commission fee basis</w:t>
      </w:r>
      <w:r w:rsidR="008266E0">
        <w:rPr>
          <w:rFonts w:ascii="Times New Roman" w:hAnsi="Times New Roman" w:cs="Times New Roman"/>
          <w:sz w:val="24"/>
          <w:szCs w:val="24"/>
        </w:rPr>
        <w:t xml:space="preserve"> (1)</w:t>
      </w:r>
      <w:r w:rsidR="002C425C">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1C5319" w:rsidRDefault="00A06433" w:rsidP="001C5319">
      <w:pPr>
        <w:spacing w:line="480" w:lineRule="auto"/>
        <w:rPr>
          <w:rFonts w:ascii="Times New Roman" w:hAnsi="Times New Roman" w:cs="Times New Roman"/>
          <w:b/>
          <w:sz w:val="24"/>
          <w:szCs w:val="24"/>
        </w:rPr>
      </w:pPr>
      <w:r w:rsidRPr="00E0555B">
        <w:rPr>
          <w:rFonts w:ascii="Times New Roman" w:hAnsi="Times New Roman" w:cs="Times New Roman"/>
          <w:b/>
          <w:sz w:val="24"/>
          <w:szCs w:val="24"/>
        </w:rPr>
        <w:t>Industry Goods and Services</w:t>
      </w:r>
    </w:p>
    <w:p w:rsidR="002227D4" w:rsidRDefault="00A06433" w:rsidP="001C5319">
      <w:pPr>
        <w:spacing w:line="480" w:lineRule="auto"/>
        <w:rPr>
          <w:rFonts w:ascii="Times New Roman" w:hAnsi="Times New Roman" w:cs="Times New Roman"/>
          <w:sz w:val="24"/>
          <w:szCs w:val="24"/>
        </w:rPr>
      </w:pPr>
      <w:r>
        <w:rPr>
          <w:rFonts w:ascii="Times New Roman" w:hAnsi="Times New Roman" w:cs="Times New Roman"/>
          <w:b/>
          <w:sz w:val="24"/>
          <w:szCs w:val="24"/>
        </w:rPr>
        <w:tab/>
      </w:r>
      <w:r w:rsidR="002C425C">
        <w:rPr>
          <w:rFonts w:ascii="Times New Roman" w:hAnsi="Times New Roman" w:cs="Times New Roman"/>
          <w:sz w:val="24"/>
          <w:szCs w:val="24"/>
        </w:rPr>
        <w:t>The mortgage and nonmortgage loan brokerage loans include services such as loan brokerage, mort</w:t>
      </w:r>
      <w:r>
        <w:rPr>
          <w:rFonts w:ascii="Times New Roman" w:hAnsi="Times New Roman" w:cs="Times New Roman"/>
          <w:sz w:val="24"/>
          <w:szCs w:val="24"/>
        </w:rPr>
        <w:t>gage brokerage, liquidation,</w:t>
      </w:r>
      <w:r w:rsidR="002C425C">
        <w:rPr>
          <w:rFonts w:ascii="Times New Roman" w:hAnsi="Times New Roman" w:cs="Times New Roman"/>
          <w:sz w:val="24"/>
          <w:szCs w:val="24"/>
        </w:rPr>
        <w:t xml:space="preserve"> creation,</w:t>
      </w:r>
      <w:r>
        <w:rPr>
          <w:rFonts w:ascii="Times New Roman" w:hAnsi="Times New Roman" w:cs="Times New Roman"/>
          <w:sz w:val="24"/>
          <w:szCs w:val="24"/>
        </w:rPr>
        <w:t xml:space="preserve"> </w:t>
      </w:r>
      <w:bookmarkStart w:id="0" w:name="_GoBack"/>
      <w:bookmarkEnd w:id="0"/>
      <w:r>
        <w:rPr>
          <w:rFonts w:ascii="Times New Roman" w:hAnsi="Times New Roman" w:cs="Times New Roman"/>
          <w:sz w:val="24"/>
          <w:szCs w:val="24"/>
        </w:rPr>
        <w:t>and transfer</w:t>
      </w:r>
      <w:r w:rsidR="002C425C">
        <w:rPr>
          <w:rFonts w:ascii="Times New Roman" w:hAnsi="Times New Roman" w:cs="Times New Roman"/>
          <w:sz w:val="24"/>
          <w:szCs w:val="24"/>
        </w:rPr>
        <w:t xml:space="preserve"> of possession for financial assets. </w:t>
      </w:r>
      <w:r>
        <w:rPr>
          <w:rFonts w:ascii="Times New Roman" w:hAnsi="Times New Roman" w:cs="Times New Roman"/>
          <w:sz w:val="24"/>
          <w:szCs w:val="24"/>
        </w:rPr>
        <w:t xml:space="preserve"> Mortgage and nonmortgage b</w:t>
      </w:r>
      <w:r>
        <w:rPr>
          <w:rFonts w:ascii="Times New Roman" w:hAnsi="Times New Roman" w:cs="Times New Roman"/>
          <w:sz w:val="24"/>
          <w:szCs w:val="24"/>
        </w:rPr>
        <w:t>rokers facilitate the acquisition of assets through the creation of loans or buying of securities. The brokers take risks by facilitating the transfer of funds to borrowers from various lenders. Also, they repackage the funds based on risk, scale, and matu</w:t>
      </w:r>
      <w:r>
        <w:rPr>
          <w:rFonts w:ascii="Times New Roman" w:hAnsi="Times New Roman" w:cs="Times New Roman"/>
          <w:sz w:val="24"/>
          <w:szCs w:val="24"/>
        </w:rPr>
        <w:t xml:space="preserve">rity before transfer. Besides, they invest in buildup reserves and provide contractual payments on the mortgage and nonmortgage financial assets. Notably, the industry is characterized by financial intermediation.  </w:t>
      </w:r>
    </w:p>
    <w:p w:rsidR="00E0555B" w:rsidRPr="00E0555B" w:rsidRDefault="00A06433" w:rsidP="001C5319">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E0555B" w:rsidRDefault="00A06433" w:rsidP="001C5319">
      <w:pPr>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Market Structure and Characteristics</w:t>
      </w:r>
    </w:p>
    <w:p w:rsidR="00C727DF" w:rsidRPr="00C727DF" w:rsidRDefault="00A06433" w:rsidP="001C5319">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The market structure of the industry is based on finance and insurance that is defined according to the level of intermediation. The level of intermediation is differentiated based on the </w:t>
      </w:r>
      <w:r w:rsidR="0042534E">
        <w:rPr>
          <w:rFonts w:ascii="Times New Roman" w:hAnsi="Times New Roman" w:cs="Times New Roman"/>
          <w:sz w:val="24"/>
          <w:szCs w:val="24"/>
        </w:rPr>
        <w:t>specialized brokerage human resources as well as the specialized mortgage and nonmortgage assets. Structural organization in this industry also depends on the methodologies that brokers use to acquire and distribute mortgage and nonmortgage capital, source of funds, and how the funds are used</w:t>
      </w:r>
      <w:r w:rsidR="008266E0">
        <w:rPr>
          <w:rFonts w:ascii="Times New Roman" w:hAnsi="Times New Roman" w:cs="Times New Roman"/>
          <w:sz w:val="24"/>
          <w:szCs w:val="24"/>
        </w:rPr>
        <w:t xml:space="preserve"> (2)</w:t>
      </w:r>
      <w:r w:rsidR="0042534E">
        <w:rPr>
          <w:rFonts w:ascii="Times New Roman" w:hAnsi="Times New Roman" w:cs="Times New Roman"/>
          <w:sz w:val="24"/>
          <w:szCs w:val="24"/>
        </w:rPr>
        <w:t>. In this regard, brokers either raise funds by deposit-taking or through bonds and money markets. Also, the creation of mortgages and nonmortgage requires the brokers to invest in monetary pools or underwrite securities.</w:t>
      </w:r>
    </w:p>
    <w:p w:rsidR="00E0555B" w:rsidRDefault="00A06433" w:rsidP="001C5319">
      <w:pPr>
        <w:spacing w:line="480" w:lineRule="auto"/>
        <w:rPr>
          <w:rFonts w:ascii="Times New Roman" w:hAnsi="Times New Roman" w:cs="Times New Roman"/>
          <w:b/>
          <w:sz w:val="24"/>
          <w:szCs w:val="24"/>
        </w:rPr>
      </w:pPr>
      <w:r>
        <w:rPr>
          <w:rFonts w:ascii="Times New Roman" w:hAnsi="Times New Roman" w:cs="Times New Roman"/>
          <w:b/>
          <w:sz w:val="24"/>
          <w:szCs w:val="24"/>
        </w:rPr>
        <w:t>Microeconomic Relationship, Market Outcomes, and Trends</w:t>
      </w:r>
    </w:p>
    <w:p w:rsidR="0042534E" w:rsidRDefault="00A06433" w:rsidP="001C5319">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The </w:t>
      </w:r>
      <w:r>
        <w:rPr>
          <w:rFonts w:ascii="Times New Roman" w:hAnsi="Times New Roman" w:cs="Times New Roman"/>
          <w:sz w:val="24"/>
          <w:szCs w:val="24"/>
        </w:rPr>
        <w:t xml:space="preserve">output of mortgage and nonmortgage brokerage is multiple financial services that form the basis of inputs that are combined </w:t>
      </w:r>
      <w:r w:rsidR="005F05EF">
        <w:rPr>
          <w:rFonts w:ascii="Times New Roman" w:hAnsi="Times New Roman" w:cs="Times New Roman"/>
          <w:sz w:val="24"/>
          <w:szCs w:val="24"/>
        </w:rPr>
        <w:t>at different locations within the market. There are independent input activities that distinguish the levels of loan creation, but points directly to multi-location mortgage and nonmortgage firms. However, these activities are homogenous despite the numerous forms of intermediation that occur. As a result, mortgage and nonmortgage loans are processed with the help of intermediaries to reach the borrowers.  One current trend within the industry is the usage of electronic means to facilitate verification, authorization, and transfer of funds from the lenders’ accounts to the borrowers’ accounts</w:t>
      </w:r>
      <w:r w:rsidR="008266E0">
        <w:rPr>
          <w:rFonts w:ascii="Times New Roman" w:hAnsi="Times New Roman" w:cs="Times New Roman"/>
          <w:sz w:val="24"/>
          <w:szCs w:val="24"/>
        </w:rPr>
        <w:t xml:space="preserve"> (2)</w:t>
      </w:r>
      <w:r w:rsidR="005F05EF">
        <w:rPr>
          <w:rFonts w:ascii="Times New Roman" w:hAnsi="Times New Roman" w:cs="Times New Roman"/>
          <w:sz w:val="24"/>
          <w:szCs w:val="24"/>
        </w:rPr>
        <w:t>. Therefore, the notifying banks, as well as the transaction parties, receive daily summaries.</w:t>
      </w:r>
    </w:p>
    <w:p w:rsidR="004A10D8" w:rsidRDefault="004A10D8" w:rsidP="001C5319">
      <w:pPr>
        <w:spacing w:line="480" w:lineRule="auto"/>
        <w:rPr>
          <w:rFonts w:ascii="Times New Roman" w:hAnsi="Times New Roman" w:cs="Times New Roman"/>
          <w:sz w:val="24"/>
          <w:szCs w:val="24"/>
        </w:rPr>
      </w:pPr>
    </w:p>
    <w:p w:rsidR="004A10D8" w:rsidRPr="0042534E" w:rsidRDefault="004A10D8" w:rsidP="001C5319">
      <w:pPr>
        <w:spacing w:line="480" w:lineRule="auto"/>
        <w:rPr>
          <w:rFonts w:ascii="Times New Roman" w:hAnsi="Times New Roman" w:cs="Times New Roman"/>
          <w:sz w:val="24"/>
          <w:szCs w:val="24"/>
        </w:rPr>
      </w:pPr>
    </w:p>
    <w:p w:rsidR="00E0555B" w:rsidRDefault="00A06433" w:rsidP="001C5319">
      <w:pPr>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How Government Intervention May Impact the Industry</w:t>
      </w:r>
    </w:p>
    <w:p w:rsidR="004A10D8" w:rsidRDefault="00A06433" w:rsidP="001C5319">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Government intervention regulates the licensing of mortgage and nonmortgage brokerage firms, and this can cause bureaucratic challenges to new entr</w:t>
      </w:r>
      <w:r>
        <w:rPr>
          <w:rFonts w:ascii="Times New Roman" w:hAnsi="Times New Roman" w:cs="Times New Roman"/>
          <w:sz w:val="24"/>
          <w:szCs w:val="24"/>
        </w:rPr>
        <w:t>ants. The government strives to monitor and preserve the solvency of these firms to ensure that they do not disappear with people’s money.  Also, government intervention has impacted positively on the industry since it regulates and standardizes mortgage a</w:t>
      </w:r>
      <w:r>
        <w:rPr>
          <w:rFonts w:ascii="Times New Roman" w:hAnsi="Times New Roman" w:cs="Times New Roman"/>
          <w:sz w:val="24"/>
          <w:szCs w:val="24"/>
        </w:rPr>
        <w:t xml:space="preserve">nd nonmortgage policies and products to ensure that both lenders and borrowers are not victims of fraud.  Besides, the government prevents unfair trade practices that are likely to hurt the transaction parties and reduce revenue remission. </w:t>
      </w:r>
    </w:p>
    <w:p w:rsidR="004A10D8" w:rsidRDefault="004A10D8" w:rsidP="001C5319">
      <w:pPr>
        <w:spacing w:line="480" w:lineRule="auto"/>
        <w:rPr>
          <w:rFonts w:ascii="Times New Roman" w:hAnsi="Times New Roman" w:cs="Times New Roman"/>
          <w:sz w:val="24"/>
          <w:szCs w:val="24"/>
        </w:rPr>
      </w:pPr>
    </w:p>
    <w:p w:rsidR="004A10D8" w:rsidRDefault="004A10D8" w:rsidP="001C5319">
      <w:pPr>
        <w:spacing w:line="480" w:lineRule="auto"/>
        <w:rPr>
          <w:rFonts w:ascii="Times New Roman" w:hAnsi="Times New Roman" w:cs="Times New Roman"/>
          <w:sz w:val="24"/>
          <w:szCs w:val="24"/>
        </w:rPr>
      </w:pPr>
    </w:p>
    <w:p w:rsidR="004A10D8" w:rsidRDefault="004A10D8" w:rsidP="001C5319">
      <w:pPr>
        <w:spacing w:line="480" w:lineRule="auto"/>
        <w:rPr>
          <w:rFonts w:ascii="Times New Roman" w:hAnsi="Times New Roman" w:cs="Times New Roman"/>
          <w:sz w:val="24"/>
          <w:szCs w:val="24"/>
        </w:rPr>
      </w:pPr>
    </w:p>
    <w:p w:rsidR="004A10D8" w:rsidRDefault="004A10D8" w:rsidP="001C5319">
      <w:pPr>
        <w:spacing w:line="480" w:lineRule="auto"/>
        <w:rPr>
          <w:rFonts w:ascii="Times New Roman" w:hAnsi="Times New Roman" w:cs="Times New Roman"/>
          <w:sz w:val="24"/>
          <w:szCs w:val="24"/>
        </w:rPr>
      </w:pPr>
    </w:p>
    <w:p w:rsidR="004A10D8" w:rsidRDefault="004A10D8" w:rsidP="001C5319">
      <w:pPr>
        <w:spacing w:line="480" w:lineRule="auto"/>
        <w:rPr>
          <w:rFonts w:ascii="Times New Roman" w:hAnsi="Times New Roman" w:cs="Times New Roman"/>
          <w:sz w:val="24"/>
          <w:szCs w:val="24"/>
        </w:rPr>
      </w:pPr>
    </w:p>
    <w:p w:rsidR="004A10D8" w:rsidRDefault="004A10D8" w:rsidP="001C5319">
      <w:pPr>
        <w:spacing w:line="480" w:lineRule="auto"/>
        <w:rPr>
          <w:rFonts w:ascii="Times New Roman" w:hAnsi="Times New Roman" w:cs="Times New Roman"/>
          <w:sz w:val="24"/>
          <w:szCs w:val="24"/>
        </w:rPr>
      </w:pPr>
    </w:p>
    <w:p w:rsidR="004A10D8" w:rsidRDefault="004A10D8" w:rsidP="001C5319">
      <w:pPr>
        <w:spacing w:line="480" w:lineRule="auto"/>
        <w:rPr>
          <w:rFonts w:ascii="Times New Roman" w:hAnsi="Times New Roman" w:cs="Times New Roman"/>
          <w:sz w:val="24"/>
          <w:szCs w:val="24"/>
        </w:rPr>
      </w:pPr>
    </w:p>
    <w:p w:rsidR="004A10D8" w:rsidRDefault="004A10D8" w:rsidP="001C5319">
      <w:pPr>
        <w:spacing w:line="480" w:lineRule="auto"/>
        <w:rPr>
          <w:rFonts w:ascii="Times New Roman" w:hAnsi="Times New Roman" w:cs="Times New Roman"/>
          <w:sz w:val="24"/>
          <w:szCs w:val="24"/>
        </w:rPr>
      </w:pPr>
    </w:p>
    <w:p w:rsidR="004A10D8" w:rsidRDefault="004A10D8" w:rsidP="001C5319">
      <w:pPr>
        <w:spacing w:line="480" w:lineRule="auto"/>
        <w:rPr>
          <w:rFonts w:ascii="Times New Roman" w:hAnsi="Times New Roman" w:cs="Times New Roman"/>
          <w:sz w:val="24"/>
          <w:szCs w:val="24"/>
        </w:rPr>
      </w:pPr>
    </w:p>
    <w:p w:rsidR="004A10D8" w:rsidRDefault="004A10D8" w:rsidP="001C5319">
      <w:pPr>
        <w:spacing w:line="480" w:lineRule="auto"/>
        <w:rPr>
          <w:rFonts w:ascii="Times New Roman" w:hAnsi="Times New Roman" w:cs="Times New Roman"/>
          <w:sz w:val="24"/>
          <w:szCs w:val="24"/>
        </w:rPr>
      </w:pPr>
    </w:p>
    <w:p w:rsidR="004A10D8" w:rsidRDefault="004A10D8" w:rsidP="001C5319">
      <w:pPr>
        <w:spacing w:line="480" w:lineRule="auto"/>
        <w:rPr>
          <w:rFonts w:ascii="Times New Roman" w:hAnsi="Times New Roman" w:cs="Times New Roman"/>
          <w:sz w:val="24"/>
          <w:szCs w:val="24"/>
        </w:rPr>
      </w:pPr>
    </w:p>
    <w:p w:rsidR="00BC6137" w:rsidRDefault="00A06433" w:rsidP="00BC6137">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Sour</w:t>
      </w:r>
      <w:r>
        <w:rPr>
          <w:rFonts w:ascii="Times New Roman" w:hAnsi="Times New Roman" w:cs="Times New Roman"/>
          <w:sz w:val="24"/>
          <w:szCs w:val="24"/>
        </w:rPr>
        <w:t>ces</w:t>
      </w:r>
    </w:p>
    <w:p w:rsidR="005B3D2E" w:rsidRDefault="00A06433" w:rsidP="001C5319">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t>United States Census Bureau.</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n</w:t>
      </w:r>
      <w:proofErr w:type="gramEnd"/>
      <w:r>
        <w:rPr>
          <w:rFonts w:ascii="Times New Roman" w:hAnsi="Times New Roman" w:cs="Times New Roman"/>
          <w:sz w:val="24"/>
          <w:szCs w:val="24"/>
        </w:rPr>
        <w:t xml:space="preserve">. d). </w:t>
      </w:r>
      <w:proofErr w:type="gramStart"/>
      <w:r>
        <w:rPr>
          <w:rFonts w:ascii="Times New Roman" w:hAnsi="Times New Roman" w:cs="Times New Roman"/>
          <w:sz w:val="24"/>
          <w:szCs w:val="24"/>
        </w:rPr>
        <w:t>522310 Mortgage and nonmortgage loan brokers.</w:t>
      </w:r>
      <w:proofErr w:type="gramEnd"/>
      <w:r>
        <w:rPr>
          <w:rFonts w:ascii="Times New Roman" w:hAnsi="Times New Roman" w:cs="Times New Roman"/>
          <w:sz w:val="24"/>
          <w:szCs w:val="24"/>
        </w:rPr>
        <w:t xml:space="preserve"> </w:t>
      </w:r>
    </w:p>
    <w:p w:rsidR="005B3D2E" w:rsidRDefault="00A06433" w:rsidP="001C5319">
      <w:pPr>
        <w:spacing w:line="480" w:lineRule="auto"/>
        <w:rPr>
          <w:rFonts w:ascii="Times New Roman" w:hAnsi="Times New Roman" w:cs="Times New Roman"/>
          <w:sz w:val="24"/>
          <w:szCs w:val="24"/>
        </w:rPr>
      </w:pPr>
      <w:r>
        <w:rPr>
          <w:rFonts w:ascii="Times New Roman" w:hAnsi="Times New Roman" w:cs="Times New Roman"/>
          <w:sz w:val="24"/>
          <w:szCs w:val="24"/>
        </w:rPr>
        <w:tab/>
      </w:r>
      <w:proofErr w:type="gramStart"/>
      <w:r w:rsidRPr="005B3D2E">
        <w:rPr>
          <w:rFonts w:ascii="Times New Roman" w:hAnsi="Times New Roman" w:cs="Times New Roman"/>
          <w:sz w:val="24"/>
          <w:szCs w:val="24"/>
        </w:rPr>
        <w:t>North American Industry Classification System</w:t>
      </w:r>
      <w:r>
        <w:rPr>
          <w:rFonts w:ascii="Times New Roman" w:hAnsi="Times New Roman" w:cs="Times New Roman"/>
          <w:sz w:val="24"/>
          <w:szCs w:val="24"/>
        </w:rPr>
        <w:t>.</w:t>
      </w:r>
      <w:proofErr w:type="gramEnd"/>
      <w:r>
        <w:rPr>
          <w:rFonts w:ascii="Times New Roman" w:hAnsi="Times New Roman" w:cs="Times New Roman"/>
          <w:sz w:val="24"/>
          <w:szCs w:val="24"/>
        </w:rPr>
        <w:t xml:space="preserve"> Retrieved from</w:t>
      </w:r>
    </w:p>
    <w:p w:rsidR="005B3D2E" w:rsidRDefault="00A06433" w:rsidP="005B3D2E">
      <w:pPr>
        <w:spacing w:line="480" w:lineRule="auto"/>
        <w:ind w:left="720"/>
        <w:rPr>
          <w:rFonts w:ascii="Times New Roman" w:hAnsi="Times New Roman" w:cs="Times New Roman"/>
          <w:sz w:val="24"/>
          <w:szCs w:val="24"/>
        </w:rPr>
      </w:pPr>
      <w:hyperlink r:id="rId6" w:history="1">
        <w:r w:rsidRPr="00955981">
          <w:rPr>
            <w:rStyle w:val="Hyperlink"/>
            <w:rFonts w:ascii="Times New Roman" w:hAnsi="Times New Roman" w:cs="Times New Roman"/>
            <w:sz w:val="24"/>
            <w:szCs w:val="24"/>
          </w:rPr>
          <w:t>https://www.census.gov/cgi-bin/sssd/naics/naicsrch?code=522310&amp;search=2017%20NAICS%20Search</w:t>
        </w:r>
      </w:hyperlink>
    </w:p>
    <w:p w:rsidR="004A10D8" w:rsidRDefault="00A06433" w:rsidP="001C5319">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t>United States Census.</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n</w:t>
      </w:r>
      <w:proofErr w:type="gramEnd"/>
      <w:r>
        <w:rPr>
          <w:rFonts w:ascii="Times New Roman" w:hAnsi="Times New Roman" w:cs="Times New Roman"/>
          <w:sz w:val="24"/>
          <w:szCs w:val="24"/>
        </w:rPr>
        <w:t>. d). Sector 52 – Finance and insu</w:t>
      </w:r>
      <w:r>
        <w:rPr>
          <w:rFonts w:ascii="Times New Roman" w:hAnsi="Times New Roman" w:cs="Times New Roman"/>
          <w:sz w:val="24"/>
          <w:szCs w:val="24"/>
        </w:rPr>
        <w:t xml:space="preserve">rance: The sector as a whole. </w:t>
      </w:r>
    </w:p>
    <w:p w:rsidR="004A10D8" w:rsidRDefault="00A06433" w:rsidP="001C5319">
      <w:pPr>
        <w:spacing w:line="480" w:lineRule="auto"/>
        <w:rPr>
          <w:rFonts w:ascii="Times New Roman" w:hAnsi="Times New Roman" w:cs="Times New Roman"/>
          <w:sz w:val="24"/>
          <w:szCs w:val="24"/>
        </w:rPr>
      </w:pPr>
      <w:r>
        <w:rPr>
          <w:rFonts w:ascii="Times New Roman" w:hAnsi="Times New Roman" w:cs="Times New Roman"/>
          <w:sz w:val="24"/>
          <w:szCs w:val="24"/>
        </w:rPr>
        <w:tab/>
      </w:r>
      <w:proofErr w:type="gramStart"/>
      <w:r w:rsidRPr="004A10D8">
        <w:rPr>
          <w:rFonts w:ascii="Times New Roman" w:hAnsi="Times New Roman" w:cs="Times New Roman"/>
          <w:sz w:val="24"/>
          <w:szCs w:val="24"/>
        </w:rPr>
        <w:t>North American Industry Classification System</w:t>
      </w:r>
      <w:r>
        <w:rPr>
          <w:rFonts w:ascii="Times New Roman" w:hAnsi="Times New Roman" w:cs="Times New Roman"/>
          <w:sz w:val="24"/>
          <w:szCs w:val="24"/>
        </w:rPr>
        <w:t>.</w:t>
      </w:r>
      <w:proofErr w:type="gramEnd"/>
      <w:r>
        <w:rPr>
          <w:rFonts w:ascii="Times New Roman" w:hAnsi="Times New Roman" w:cs="Times New Roman"/>
          <w:sz w:val="24"/>
          <w:szCs w:val="24"/>
        </w:rPr>
        <w:t xml:space="preserve"> Retrieved from</w:t>
      </w:r>
    </w:p>
    <w:p w:rsidR="004A10D8" w:rsidRPr="004A10D8" w:rsidRDefault="00A06433" w:rsidP="004A10D8">
      <w:pPr>
        <w:spacing w:line="480" w:lineRule="auto"/>
        <w:ind w:left="720"/>
        <w:rPr>
          <w:rFonts w:ascii="Times New Roman" w:hAnsi="Times New Roman" w:cs="Times New Roman"/>
          <w:sz w:val="24"/>
          <w:szCs w:val="24"/>
        </w:rPr>
      </w:pPr>
      <w:hyperlink r:id="rId7" w:history="1">
        <w:r w:rsidRPr="00955981">
          <w:rPr>
            <w:rStyle w:val="Hyperlink"/>
            <w:rFonts w:ascii="Times New Roman" w:hAnsi="Times New Roman" w:cs="Times New Roman"/>
            <w:sz w:val="24"/>
            <w:szCs w:val="24"/>
          </w:rPr>
          <w:t>https://www.census.gov/cgi-bin/sssd/naics/naicsrch?code=52</w:t>
        </w:r>
        <w:r w:rsidRPr="00955981">
          <w:rPr>
            <w:rStyle w:val="Hyperlink"/>
            <w:rFonts w:ascii="Times New Roman" w:hAnsi="Times New Roman" w:cs="Times New Roman"/>
            <w:sz w:val="24"/>
            <w:szCs w:val="24"/>
          </w:rPr>
          <w:t>&amp;search=2017%20NAICS%20Search</w:t>
        </w:r>
      </w:hyperlink>
    </w:p>
    <w:p w:rsidR="00E0555B" w:rsidRDefault="00E0555B" w:rsidP="001C5319">
      <w:pPr>
        <w:spacing w:line="480" w:lineRule="auto"/>
        <w:rPr>
          <w:rFonts w:ascii="Times New Roman" w:hAnsi="Times New Roman" w:cs="Times New Roman"/>
          <w:sz w:val="24"/>
          <w:szCs w:val="24"/>
        </w:rPr>
      </w:pPr>
    </w:p>
    <w:p w:rsidR="001C5319" w:rsidRPr="001C5319" w:rsidRDefault="001C5319" w:rsidP="001C5319">
      <w:pPr>
        <w:spacing w:line="480" w:lineRule="auto"/>
        <w:jc w:val="center"/>
        <w:rPr>
          <w:rFonts w:ascii="Times New Roman" w:hAnsi="Times New Roman" w:cs="Times New Roman"/>
          <w:sz w:val="24"/>
          <w:szCs w:val="24"/>
        </w:rPr>
      </w:pPr>
    </w:p>
    <w:sectPr w:rsidR="001C5319" w:rsidRPr="001C5319" w:rsidSect="001C5319">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5319"/>
    <w:rsid w:val="001C5319"/>
    <w:rsid w:val="001D2666"/>
    <w:rsid w:val="002227D4"/>
    <w:rsid w:val="002C425C"/>
    <w:rsid w:val="0042534E"/>
    <w:rsid w:val="004A10D8"/>
    <w:rsid w:val="004F7DD0"/>
    <w:rsid w:val="005B3D2E"/>
    <w:rsid w:val="005F05EF"/>
    <w:rsid w:val="0080412D"/>
    <w:rsid w:val="008266E0"/>
    <w:rsid w:val="00955981"/>
    <w:rsid w:val="00A06433"/>
    <w:rsid w:val="00BC6137"/>
    <w:rsid w:val="00BD4F4E"/>
    <w:rsid w:val="00C727DF"/>
    <w:rsid w:val="00E055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C53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5319"/>
  </w:style>
  <w:style w:type="paragraph" w:styleId="Footer">
    <w:name w:val="footer"/>
    <w:basedOn w:val="Normal"/>
    <w:link w:val="FooterChar"/>
    <w:uiPriority w:val="99"/>
    <w:unhideWhenUsed/>
    <w:rsid w:val="001C53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5319"/>
  </w:style>
  <w:style w:type="character" w:styleId="Hyperlink">
    <w:name w:val="Hyperlink"/>
    <w:basedOn w:val="DefaultParagraphFont"/>
    <w:uiPriority w:val="99"/>
    <w:unhideWhenUsed/>
    <w:rsid w:val="004A10D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C53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5319"/>
  </w:style>
  <w:style w:type="paragraph" w:styleId="Footer">
    <w:name w:val="footer"/>
    <w:basedOn w:val="Normal"/>
    <w:link w:val="FooterChar"/>
    <w:uiPriority w:val="99"/>
    <w:unhideWhenUsed/>
    <w:rsid w:val="001C53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5319"/>
  </w:style>
  <w:style w:type="character" w:styleId="Hyperlink">
    <w:name w:val="Hyperlink"/>
    <w:basedOn w:val="DefaultParagraphFont"/>
    <w:uiPriority w:val="99"/>
    <w:unhideWhenUsed/>
    <w:rsid w:val="004A10D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www.census.gov/cgi-bin/sssd/naics/naicsrch?code=52&amp;search=2017%20NAICS%20Search"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census.gov/cgi-bin/sssd/naics/naicsrch?code=522310&amp;search=2017%20NAICS%20Search"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C68444-0EAA-4CE4-9D1A-9E5BAE506B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5</Pages>
  <Words>696</Words>
  <Characters>3971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6</cp:revision>
  <dcterms:created xsi:type="dcterms:W3CDTF">2019-10-25T17:36:00Z</dcterms:created>
  <dcterms:modified xsi:type="dcterms:W3CDTF">2019-10-25T20:58:00Z</dcterms:modified>
</cp:coreProperties>
</file>